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865" w:rsidRDefault="001C3865" w:rsidP="001C3865">
      <w:pPr>
        <w:rPr>
          <w:b/>
          <w:bCs/>
        </w:rPr>
      </w:pPr>
    </w:p>
    <w:p w:rsidR="001C3865" w:rsidRPr="00615E1E" w:rsidRDefault="001C3865" w:rsidP="001C3865">
      <w:pPr>
        <w:rPr>
          <w:b/>
          <w:bCs/>
        </w:rPr>
      </w:pPr>
      <w:r w:rsidRPr="00615E1E">
        <w:rPr>
          <w:b/>
          <w:bCs/>
        </w:rPr>
        <w:t>Vážení,</w:t>
      </w:r>
    </w:p>
    <w:p w:rsidR="00A841AB" w:rsidRPr="00615E1E" w:rsidRDefault="001C3865" w:rsidP="001C3865">
      <w:pPr>
        <w:jc w:val="both"/>
        <w:rPr>
          <w:bCs/>
        </w:rPr>
      </w:pPr>
      <w:r w:rsidRPr="00615E1E">
        <w:rPr>
          <w:bCs/>
        </w:rPr>
        <w:t xml:space="preserve">dnem 25.5. 2018 vstoupí v účinnost </w:t>
      </w:r>
      <w:r w:rsidR="00A42BA8" w:rsidRPr="00615E1E">
        <w:rPr>
          <w:b/>
          <w:bCs/>
          <w:i/>
        </w:rPr>
        <w:t>Nařízení Evropského parlamentu a Rady (EU) 2016/679 ze dne 27. dubna 2016 o ochraně fyzických osob v souvislosti se zpracováním osobních údajů a o volném pohybu těchto údajů a</w:t>
      </w:r>
      <w:r w:rsidR="00A42BA8" w:rsidRPr="00615E1E">
        <w:rPr>
          <w:bCs/>
        </w:rPr>
        <w:t xml:space="preserve"> o zrušení směrnice 95/46/ES (obecné nařízení o ochraně osobních údajů).</w:t>
      </w:r>
      <w:r w:rsidRPr="00615E1E">
        <w:rPr>
          <w:bCs/>
        </w:rPr>
        <w:t xml:space="preserve"> Uvedené Nařízení je známe</w:t>
      </w:r>
      <w:r w:rsidR="001A0AE5">
        <w:rPr>
          <w:bCs/>
        </w:rPr>
        <w:t xml:space="preserve"> pod zkratkou GDPR (General Data</w:t>
      </w:r>
      <w:r w:rsidRPr="00615E1E">
        <w:rPr>
          <w:bCs/>
        </w:rPr>
        <w:t xml:space="preserve"> Protection Regulation).</w:t>
      </w:r>
    </w:p>
    <w:p w:rsidR="00A841AB" w:rsidRPr="00615E1E" w:rsidRDefault="00A42BA8" w:rsidP="001C3865">
      <w:pPr>
        <w:jc w:val="both"/>
      </w:pPr>
      <w:r w:rsidRPr="00615E1E">
        <w:rPr>
          <w:bCs/>
        </w:rPr>
        <w:t xml:space="preserve">Cílem </w:t>
      </w:r>
      <w:r w:rsidR="001C3865" w:rsidRPr="00615E1E">
        <w:rPr>
          <w:bCs/>
        </w:rPr>
        <w:t xml:space="preserve">GDPR </w:t>
      </w:r>
      <w:r w:rsidRPr="00615E1E">
        <w:rPr>
          <w:bCs/>
        </w:rPr>
        <w:t>je zajistit stejné podmínky ochrany osobních údajů v rámci celé EU, což by mělo u</w:t>
      </w:r>
      <w:r w:rsidR="001C3865" w:rsidRPr="00615E1E">
        <w:rPr>
          <w:bCs/>
        </w:rPr>
        <w:t>šetřit právnickým osobám</w:t>
      </w:r>
      <w:r w:rsidRPr="00615E1E">
        <w:rPr>
          <w:bCs/>
        </w:rPr>
        <w:t xml:space="preserve"> právní náklady na plnění různých národních předpisů</w:t>
      </w:r>
      <w:r w:rsidRPr="00615E1E">
        <w:t>.</w:t>
      </w:r>
      <w:r w:rsidR="001C3865" w:rsidRPr="00615E1E">
        <w:t xml:space="preserve"> </w:t>
      </w:r>
      <w:r w:rsidRPr="00615E1E">
        <w:rPr>
          <w:bCs/>
        </w:rPr>
        <w:t xml:space="preserve">Ochrana soukromí fyzických osob je základním právem občana EU. </w:t>
      </w:r>
      <w:r w:rsidR="001C3865" w:rsidRPr="00615E1E">
        <w:t xml:space="preserve">O </w:t>
      </w:r>
      <w:r w:rsidRPr="00615E1E">
        <w:t>každém z nás se zpracovává v důsledku technologického pokroku velké množství osobních údajů, aniž si to uvědomujeme.</w:t>
      </w:r>
    </w:p>
    <w:p w:rsidR="00A841AB" w:rsidRPr="00615E1E" w:rsidRDefault="00A42BA8" w:rsidP="002F2956">
      <w:pPr>
        <w:jc w:val="both"/>
      </w:pPr>
      <w:r w:rsidRPr="00615E1E">
        <w:rPr>
          <w:b/>
          <w:bCs/>
          <w:i/>
          <w:iCs/>
        </w:rPr>
        <w:t>Co je osobní údaj?</w:t>
      </w:r>
    </w:p>
    <w:p w:rsidR="00353185" w:rsidRPr="00615E1E" w:rsidRDefault="00A42BA8" w:rsidP="00353185">
      <w:pPr>
        <w:numPr>
          <w:ilvl w:val="0"/>
          <w:numId w:val="4"/>
        </w:numPr>
        <w:jc w:val="both"/>
      </w:pPr>
      <w:r w:rsidRPr="00615E1E">
        <w:rPr>
          <w:bCs/>
        </w:rPr>
        <w:t>Osobním údajem je každá informace o identifikované nebo identifikovatelné fyzické osobě (subjektu údajů). Identifikovatelnou fyzickou osobou je fyzická osoba, kterou lze přímo či nepřímo identifikovat, zejména odkazem na určitý identifikátor (</w:t>
      </w:r>
      <w:r w:rsidR="00353185" w:rsidRPr="00615E1E">
        <w:rPr>
          <w:bCs/>
        </w:rPr>
        <w:t xml:space="preserve">např. </w:t>
      </w:r>
      <w:r w:rsidRPr="00615E1E">
        <w:rPr>
          <w:bCs/>
        </w:rPr>
        <w:t>jméno,</w:t>
      </w:r>
      <w:r w:rsidR="00197F55">
        <w:rPr>
          <w:bCs/>
        </w:rPr>
        <w:t xml:space="preserve"> příjmení,</w:t>
      </w:r>
      <w:r w:rsidRPr="00615E1E">
        <w:rPr>
          <w:bCs/>
        </w:rPr>
        <w:t xml:space="preserve"> </w:t>
      </w:r>
      <w:r w:rsidR="00353185" w:rsidRPr="00615E1E">
        <w:rPr>
          <w:bCs/>
        </w:rPr>
        <w:t xml:space="preserve">bydliště, </w:t>
      </w:r>
      <w:r w:rsidR="00615E1E">
        <w:rPr>
          <w:bCs/>
        </w:rPr>
        <w:t xml:space="preserve">rodné </w:t>
      </w:r>
      <w:r w:rsidRPr="00615E1E">
        <w:rPr>
          <w:bCs/>
        </w:rPr>
        <w:t>číslo, síťový identifikátor</w:t>
      </w:r>
      <w:r w:rsidR="00197F55">
        <w:rPr>
          <w:bCs/>
        </w:rPr>
        <w:t>, email</w:t>
      </w:r>
      <w:r w:rsidR="00615E1E">
        <w:rPr>
          <w:bCs/>
        </w:rPr>
        <w:t xml:space="preserve"> atd.</w:t>
      </w:r>
      <w:r w:rsidRPr="00615E1E">
        <w:rPr>
          <w:bCs/>
        </w:rPr>
        <w:t>) nebo na jeden či více zvláštních prvků fyzické, fyziologické, genetické, psychické, ekonomické, kulturní nebo společenské identity této fyzické osoby.</w:t>
      </w:r>
    </w:p>
    <w:p w:rsidR="002F2956" w:rsidRPr="00615E1E" w:rsidRDefault="00A42BA8" w:rsidP="001C3865">
      <w:pPr>
        <w:jc w:val="both"/>
        <w:rPr>
          <w:bCs/>
        </w:rPr>
      </w:pPr>
      <w:r w:rsidRPr="00615E1E">
        <w:rPr>
          <w:bCs/>
        </w:rPr>
        <w:t xml:space="preserve">Cílem jednotné evropské ochrany </w:t>
      </w:r>
      <w:r w:rsidR="001C3865" w:rsidRPr="00615E1E">
        <w:rPr>
          <w:bCs/>
        </w:rPr>
        <w:t xml:space="preserve">osobních </w:t>
      </w:r>
      <w:r w:rsidR="002F2956" w:rsidRPr="00615E1E">
        <w:rPr>
          <w:bCs/>
        </w:rPr>
        <w:t xml:space="preserve">dat je zajistit, aby </w:t>
      </w:r>
      <w:r w:rsidRPr="00615E1E">
        <w:rPr>
          <w:bCs/>
        </w:rPr>
        <w:t xml:space="preserve">data byla chráněna </w:t>
      </w:r>
      <w:r w:rsidR="002F2956" w:rsidRPr="00615E1E">
        <w:rPr>
          <w:bCs/>
        </w:rPr>
        <w:t xml:space="preserve">všem občanům EÚ </w:t>
      </w:r>
      <w:r w:rsidRPr="00615E1E">
        <w:rPr>
          <w:bCs/>
        </w:rPr>
        <w:t>stejně.</w:t>
      </w:r>
      <w:r w:rsidR="001C3865" w:rsidRPr="00615E1E">
        <w:rPr>
          <w:bCs/>
        </w:rPr>
        <w:t xml:space="preserve"> </w:t>
      </w:r>
      <w:r w:rsidR="002F2956" w:rsidRPr="00615E1E">
        <w:rPr>
          <w:bCs/>
        </w:rPr>
        <w:t xml:space="preserve">Uvedené GDPR dopadá dílčím způsobem i na </w:t>
      </w:r>
      <w:r w:rsidR="001A0AE5">
        <w:rPr>
          <w:bCs/>
        </w:rPr>
        <w:t>bytová družstva</w:t>
      </w:r>
      <w:r w:rsidR="002F2956" w:rsidRPr="00615E1E">
        <w:rPr>
          <w:bCs/>
        </w:rPr>
        <w:t xml:space="preserve">, které je dle čl. 13, resp. 14 </w:t>
      </w:r>
      <w:r w:rsidR="00043616" w:rsidRPr="00615E1E">
        <w:rPr>
          <w:bCs/>
        </w:rPr>
        <w:t xml:space="preserve">povinno informovat </w:t>
      </w:r>
      <w:r w:rsidR="001A0AE5">
        <w:rPr>
          <w:bCs/>
        </w:rPr>
        <w:t>držitele členských podílů</w:t>
      </w:r>
      <w:r w:rsidR="002F2956" w:rsidRPr="00615E1E">
        <w:rPr>
          <w:bCs/>
        </w:rPr>
        <w:t>, příp. jejich nájemce:</w:t>
      </w:r>
    </w:p>
    <w:p w:rsidR="004A1CC1" w:rsidRPr="00615E1E" w:rsidRDefault="002F2956" w:rsidP="002F2956">
      <w:pPr>
        <w:pStyle w:val="ListParagraph"/>
        <w:numPr>
          <w:ilvl w:val="0"/>
          <w:numId w:val="3"/>
        </w:numPr>
        <w:jc w:val="both"/>
        <w:rPr>
          <w:bCs/>
        </w:rPr>
      </w:pPr>
      <w:r w:rsidRPr="00615E1E">
        <w:rPr>
          <w:bCs/>
        </w:rPr>
        <w:t>jaké kat</w:t>
      </w:r>
      <w:r w:rsidR="001A0AE5">
        <w:rPr>
          <w:bCs/>
        </w:rPr>
        <w:t>egorie osobních údajů o nich bytové družstvo</w:t>
      </w:r>
      <w:r w:rsidRPr="00615E1E">
        <w:rPr>
          <w:bCs/>
        </w:rPr>
        <w:t xml:space="preserve"> eviduje, za jakým účelem, na jakou dobu, </w:t>
      </w:r>
      <w:r w:rsidR="00353185" w:rsidRPr="00615E1E">
        <w:rPr>
          <w:bCs/>
        </w:rPr>
        <w:t xml:space="preserve">kdo je správcem osobních údajů, právní důvod pro zpracování údajů, </w:t>
      </w:r>
      <w:r w:rsidRPr="00615E1E">
        <w:rPr>
          <w:bCs/>
        </w:rPr>
        <w:t>zda mají právo na opravu či výmaz osobních údajů, právo na vznesení námitky proti zpracování osobních údajů, zda nedochází k profilování osobních údajů, zda jejich údaje nejsou součástí automatizovaného rozhodování, o právu na podání stížnost dozorovému orgánu</w:t>
      </w:r>
    </w:p>
    <w:p w:rsidR="00615E1E" w:rsidRDefault="00615E1E" w:rsidP="002F2956">
      <w:pPr>
        <w:jc w:val="both"/>
        <w:rPr>
          <w:bCs/>
        </w:rPr>
      </w:pPr>
    </w:p>
    <w:p w:rsidR="00615E1E" w:rsidRDefault="00615E1E" w:rsidP="00615E1E">
      <w:pPr>
        <w:jc w:val="both"/>
        <w:rPr>
          <w:bCs/>
        </w:rPr>
      </w:pPr>
      <w:r w:rsidRPr="00615E1E">
        <w:rPr>
          <w:b/>
          <w:bCs/>
        </w:rPr>
        <w:t>Zpracování OÚ dle GDPR</w:t>
      </w:r>
      <w:r w:rsidRPr="00615E1E">
        <w:rPr>
          <w:bCs/>
        </w:rPr>
        <w:t xml:space="preserve">  je jakákoli operace nebo soubor operací, která je prováděna s osobními údaji nebo soubory osobních údajů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p w:rsidR="00353185" w:rsidRPr="00615E1E" w:rsidRDefault="001A0AE5" w:rsidP="002F2956">
      <w:pPr>
        <w:jc w:val="both"/>
        <w:rPr>
          <w:bCs/>
        </w:rPr>
      </w:pPr>
      <w:r>
        <w:rPr>
          <w:b/>
          <w:bCs/>
        </w:rPr>
        <w:t>Bytové družstvo (BD)</w:t>
      </w:r>
      <w:r w:rsidR="00353185" w:rsidRPr="00615E1E">
        <w:rPr>
          <w:b/>
          <w:bCs/>
        </w:rPr>
        <w:t xml:space="preserve"> vystupuje v případě GDPR jako správce údajů, který stanovuje účel </w:t>
      </w:r>
      <w:r w:rsidR="00615E1E">
        <w:rPr>
          <w:b/>
          <w:bCs/>
        </w:rPr>
        <w:t xml:space="preserve">a prostředky </w:t>
      </w:r>
      <w:r w:rsidR="00353185" w:rsidRPr="00615E1E">
        <w:rPr>
          <w:b/>
          <w:bCs/>
        </w:rPr>
        <w:t xml:space="preserve">zpracování osobních údajů. </w:t>
      </w:r>
      <w:r w:rsidR="00D975E9" w:rsidRPr="00615E1E">
        <w:rPr>
          <w:b/>
          <w:bCs/>
        </w:rPr>
        <w:t xml:space="preserve"> </w:t>
      </w:r>
      <w:r w:rsidR="00D975E9" w:rsidRPr="00615E1E">
        <w:rPr>
          <w:bCs/>
        </w:rPr>
        <w:t xml:space="preserve">S ohledem na zákonný resp. smluvní důvod využívání osobních údajů nemusí mít </w:t>
      </w:r>
      <w:r w:rsidR="00043616" w:rsidRPr="00615E1E">
        <w:rPr>
          <w:bCs/>
        </w:rPr>
        <w:t>dl</w:t>
      </w:r>
      <w:r w:rsidR="00D975E9" w:rsidRPr="00615E1E">
        <w:rPr>
          <w:bCs/>
        </w:rPr>
        <w:t xml:space="preserve">e GDPR správce osobních údajů od subjektů údajů jejich písemný </w:t>
      </w:r>
      <w:r>
        <w:rPr>
          <w:bCs/>
        </w:rPr>
        <w:t>souhlas. Uvedené platí i pro BD</w:t>
      </w:r>
      <w:r w:rsidR="00D975E9" w:rsidRPr="00615E1E">
        <w:rPr>
          <w:bCs/>
        </w:rPr>
        <w:t>, vyjma využívání kamerovéh</w:t>
      </w:r>
      <w:r>
        <w:rPr>
          <w:bCs/>
        </w:rPr>
        <w:t>o systému v domě, ke kterému BD</w:t>
      </w:r>
      <w:r w:rsidR="00D975E9" w:rsidRPr="00615E1E">
        <w:rPr>
          <w:bCs/>
        </w:rPr>
        <w:t xml:space="preserve"> získalo písemné souhlasy i registraci ze strany Úřadu na ochranu osobních údajů. V</w:t>
      </w:r>
      <w:r w:rsidR="00353185" w:rsidRPr="00615E1E">
        <w:rPr>
          <w:bCs/>
        </w:rPr>
        <w:t xml:space="preserve"> návaznosti na shora uvedené Nařízení si </w:t>
      </w:r>
      <w:r w:rsidR="00E11112">
        <w:rPr>
          <w:bCs/>
        </w:rPr>
        <w:t>BD</w:t>
      </w:r>
      <w:r w:rsidR="00353185" w:rsidRPr="00615E1E">
        <w:rPr>
          <w:bCs/>
        </w:rPr>
        <w:t xml:space="preserve">  dovoluje podat tyto informace:</w:t>
      </w:r>
    </w:p>
    <w:p w:rsidR="002F2956" w:rsidRPr="00615E1E" w:rsidRDefault="002F2956" w:rsidP="002F2956">
      <w:pPr>
        <w:jc w:val="both"/>
        <w:rPr>
          <w:bCs/>
        </w:rPr>
      </w:pPr>
    </w:p>
    <w:p w:rsidR="00615E1E" w:rsidRPr="00615E1E" w:rsidRDefault="00615E1E" w:rsidP="001C3865">
      <w:pPr>
        <w:jc w:val="both"/>
        <w:rPr>
          <w:b/>
          <w:bCs/>
        </w:rPr>
      </w:pPr>
    </w:p>
    <w:p w:rsidR="001C3865" w:rsidRPr="00615E1E" w:rsidRDefault="001C3865" w:rsidP="001C3865">
      <w:pPr>
        <w:jc w:val="both"/>
      </w:pPr>
    </w:p>
    <w:tbl>
      <w:tblPr>
        <w:tblStyle w:val="TableGrid"/>
        <w:tblW w:w="0" w:type="auto"/>
        <w:tblLook w:val="04A0" w:firstRow="1" w:lastRow="0" w:firstColumn="1" w:lastColumn="0" w:noHBand="0" w:noVBand="1"/>
      </w:tblPr>
      <w:tblGrid>
        <w:gridCol w:w="1975"/>
        <w:gridCol w:w="3033"/>
        <w:gridCol w:w="4054"/>
      </w:tblGrid>
      <w:tr w:rsidR="001A0AE5" w:rsidRPr="00615E1E" w:rsidTr="00353185">
        <w:tc>
          <w:tcPr>
            <w:tcW w:w="0" w:type="auto"/>
          </w:tcPr>
          <w:p w:rsidR="00197F55" w:rsidRPr="00615E1E" w:rsidRDefault="00197F55">
            <w:pPr>
              <w:rPr>
                <w:b/>
              </w:rPr>
            </w:pPr>
            <w:r w:rsidRPr="00615E1E">
              <w:rPr>
                <w:b/>
              </w:rPr>
              <w:t>Správce osobních údajů (OÚ)</w:t>
            </w:r>
          </w:p>
        </w:tc>
        <w:tc>
          <w:tcPr>
            <w:tcW w:w="0" w:type="auto"/>
          </w:tcPr>
          <w:p w:rsidR="00197F55" w:rsidRPr="00615E1E" w:rsidRDefault="001A0AE5">
            <w:pPr>
              <w:rPr>
                <w:b/>
              </w:rPr>
            </w:pPr>
            <w:r>
              <w:rPr>
                <w:b/>
              </w:rPr>
              <w:t>Bytové družstvo Rytířova 785/2</w:t>
            </w:r>
          </w:p>
        </w:tc>
        <w:tc>
          <w:tcPr>
            <w:tcW w:w="0" w:type="auto"/>
          </w:tcPr>
          <w:p w:rsidR="00197F55" w:rsidRPr="00615E1E" w:rsidRDefault="00197F55" w:rsidP="001A0AE5">
            <w:r w:rsidRPr="00615E1E">
              <w:t xml:space="preserve">Kontaktní osoba- předseda </w:t>
            </w:r>
            <w:r w:rsidR="001A0AE5">
              <w:t>BD</w:t>
            </w:r>
            <w:r w:rsidRPr="00615E1E">
              <w:t xml:space="preserve">  - </w:t>
            </w:r>
            <w:r w:rsidR="001A0AE5">
              <w:t>Petr Doležal</w:t>
            </w:r>
            <w:r w:rsidR="00CC508B">
              <w:t xml:space="preserve"> nebo místopředseda BD </w:t>
            </w:r>
            <w:r w:rsidR="001A0AE5">
              <w:t>Marie Sekyrková</w:t>
            </w:r>
          </w:p>
        </w:tc>
      </w:tr>
      <w:tr w:rsidR="001A0AE5" w:rsidRPr="00615E1E" w:rsidTr="00353185">
        <w:tc>
          <w:tcPr>
            <w:tcW w:w="0" w:type="auto"/>
          </w:tcPr>
          <w:p w:rsidR="00197F55" w:rsidRPr="00615E1E" w:rsidRDefault="00197F55">
            <w:pPr>
              <w:rPr>
                <w:b/>
              </w:rPr>
            </w:pPr>
            <w:r w:rsidRPr="00615E1E">
              <w:rPr>
                <w:b/>
              </w:rPr>
              <w:t>Účel zpracování</w:t>
            </w:r>
          </w:p>
        </w:tc>
        <w:tc>
          <w:tcPr>
            <w:tcW w:w="0" w:type="auto"/>
          </w:tcPr>
          <w:p w:rsidR="00197F55" w:rsidRPr="00615E1E" w:rsidRDefault="00197F55">
            <w:pPr>
              <w:rPr>
                <w:b/>
              </w:rPr>
            </w:pPr>
            <w:r w:rsidRPr="00615E1E">
              <w:rPr>
                <w:b/>
              </w:rPr>
              <w:t>Zajištění  zákonné správy a ochrany  domu</w:t>
            </w:r>
          </w:p>
        </w:tc>
        <w:tc>
          <w:tcPr>
            <w:tcW w:w="0" w:type="auto"/>
          </w:tcPr>
          <w:p w:rsidR="00197F55" w:rsidRPr="00615E1E" w:rsidRDefault="00197F55" w:rsidP="00083915">
            <w:r w:rsidRPr="00615E1E">
              <w:t xml:space="preserve">Vedení  agendy související  s evidencí </w:t>
            </w:r>
            <w:r w:rsidR="00083915">
              <w:t xml:space="preserve">členů BD </w:t>
            </w:r>
            <w:bookmarkStart w:id="0" w:name="_GoBack"/>
            <w:bookmarkEnd w:id="0"/>
            <w:r w:rsidRPr="00615E1E">
              <w:t>nebo nájemců B</w:t>
            </w:r>
            <w:r w:rsidR="001A0AE5">
              <w:t>D</w:t>
            </w:r>
            <w:r w:rsidRPr="00615E1E">
              <w:t xml:space="preserve"> (členská evidence, agenda vyúčtování  služeb spojených s</w:t>
            </w:r>
            <w:r>
              <w:t> </w:t>
            </w:r>
            <w:r w:rsidRPr="00615E1E">
              <w:t>užívání</w:t>
            </w:r>
            <w:r>
              <w:t xml:space="preserve">m </w:t>
            </w:r>
            <w:r w:rsidRPr="00615E1E">
              <w:t xml:space="preserve"> B</w:t>
            </w:r>
            <w:r w:rsidR="001A0AE5">
              <w:t>D</w:t>
            </w:r>
            <w:r>
              <w:t>)</w:t>
            </w:r>
          </w:p>
        </w:tc>
      </w:tr>
      <w:tr w:rsidR="001A0AE5" w:rsidRPr="00615E1E" w:rsidTr="00353185">
        <w:tc>
          <w:tcPr>
            <w:tcW w:w="0" w:type="auto"/>
          </w:tcPr>
          <w:p w:rsidR="00197F55" w:rsidRPr="00615E1E" w:rsidRDefault="00197F55">
            <w:pPr>
              <w:rPr>
                <w:b/>
              </w:rPr>
            </w:pPr>
            <w:r w:rsidRPr="00615E1E">
              <w:rPr>
                <w:b/>
              </w:rPr>
              <w:t>Právní důvod</w:t>
            </w:r>
          </w:p>
        </w:tc>
        <w:tc>
          <w:tcPr>
            <w:tcW w:w="0" w:type="auto"/>
          </w:tcPr>
          <w:p w:rsidR="00197F55" w:rsidRPr="00615E1E" w:rsidRDefault="00197F55" w:rsidP="001A0AE5">
            <w:pPr>
              <w:rPr>
                <w:b/>
              </w:rPr>
            </w:pPr>
            <w:r w:rsidRPr="00615E1E">
              <w:rPr>
                <w:b/>
              </w:rPr>
              <w:t xml:space="preserve">Občanský zákoník č. 89/2012 Sb., Stanovy </w:t>
            </w:r>
            <w:r w:rsidR="001A0AE5">
              <w:rPr>
                <w:b/>
              </w:rPr>
              <w:t>BD</w:t>
            </w:r>
          </w:p>
        </w:tc>
        <w:tc>
          <w:tcPr>
            <w:tcW w:w="0" w:type="auto"/>
          </w:tcPr>
          <w:p w:rsidR="00197F55" w:rsidRPr="00615E1E" w:rsidRDefault="00197F55"/>
        </w:tc>
      </w:tr>
      <w:tr w:rsidR="001A0AE5" w:rsidRPr="00615E1E" w:rsidTr="00353185">
        <w:tc>
          <w:tcPr>
            <w:tcW w:w="0" w:type="auto"/>
          </w:tcPr>
          <w:p w:rsidR="00197F55" w:rsidRPr="00615E1E" w:rsidRDefault="00197F55">
            <w:pPr>
              <w:rPr>
                <w:b/>
              </w:rPr>
            </w:pPr>
            <w:r w:rsidRPr="00615E1E">
              <w:rPr>
                <w:b/>
              </w:rPr>
              <w:t>Kategorie OÚ</w:t>
            </w:r>
          </w:p>
        </w:tc>
        <w:tc>
          <w:tcPr>
            <w:tcW w:w="0" w:type="auto"/>
          </w:tcPr>
          <w:p w:rsidR="00197F55" w:rsidRPr="00615E1E" w:rsidRDefault="00197F55">
            <w:pPr>
              <w:rPr>
                <w:b/>
              </w:rPr>
            </w:pPr>
            <w:r w:rsidRPr="00615E1E">
              <w:rPr>
                <w:b/>
              </w:rPr>
              <w:t>Obecné</w:t>
            </w:r>
          </w:p>
        </w:tc>
        <w:tc>
          <w:tcPr>
            <w:tcW w:w="0" w:type="auto"/>
          </w:tcPr>
          <w:p w:rsidR="00197F55" w:rsidRPr="00615E1E" w:rsidRDefault="00197F55" w:rsidP="00197F55">
            <w:pPr>
              <w:jc w:val="both"/>
            </w:pPr>
            <w:r w:rsidRPr="00615E1E">
              <w:t>V případě kamerového systému</w:t>
            </w:r>
          </w:p>
          <w:p w:rsidR="00197F55" w:rsidRDefault="00197F55" w:rsidP="00197F55">
            <w:pPr>
              <w:jc w:val="both"/>
            </w:pPr>
            <w:r w:rsidRPr="00615E1E">
              <w:t xml:space="preserve">se  jedná o zvláštní  kategorii OÚ. </w:t>
            </w:r>
          </w:p>
          <w:p w:rsidR="00197F55" w:rsidRPr="00615E1E" w:rsidRDefault="00197F55" w:rsidP="00197F55">
            <w:pPr>
              <w:jc w:val="both"/>
            </w:pPr>
            <w:r>
              <w:t>Kamerový záznam vstupu osob v přízemí a suterénu domu je po uplynutí 7 kalendářních dní automatická smazán z nahrávacího nařízení.</w:t>
            </w:r>
          </w:p>
        </w:tc>
      </w:tr>
      <w:tr w:rsidR="001A0AE5" w:rsidRPr="00615E1E" w:rsidTr="00353185">
        <w:tc>
          <w:tcPr>
            <w:tcW w:w="0" w:type="auto"/>
          </w:tcPr>
          <w:p w:rsidR="00197F55" w:rsidRPr="00615E1E" w:rsidRDefault="00197F55">
            <w:pPr>
              <w:rPr>
                <w:b/>
              </w:rPr>
            </w:pPr>
            <w:r w:rsidRPr="00615E1E">
              <w:rPr>
                <w:b/>
              </w:rPr>
              <w:t>Druhy OÚ</w:t>
            </w:r>
          </w:p>
        </w:tc>
        <w:tc>
          <w:tcPr>
            <w:tcW w:w="0" w:type="auto"/>
          </w:tcPr>
          <w:p w:rsidR="00197F55" w:rsidRPr="00615E1E" w:rsidRDefault="00197F55">
            <w:pPr>
              <w:rPr>
                <w:b/>
              </w:rPr>
            </w:pPr>
            <w:r w:rsidRPr="00615E1E">
              <w:rPr>
                <w:b/>
              </w:rPr>
              <w:t xml:space="preserve">Jméno, příjmení, bydliště, datum narození, RČ, telefon, </w:t>
            </w:r>
            <w:r>
              <w:rPr>
                <w:b/>
              </w:rPr>
              <w:t xml:space="preserve">mail, </w:t>
            </w:r>
            <w:r w:rsidRPr="00615E1E">
              <w:rPr>
                <w:b/>
              </w:rPr>
              <w:t>obrazový záznam osob z kamerového systému</w:t>
            </w:r>
          </w:p>
        </w:tc>
        <w:tc>
          <w:tcPr>
            <w:tcW w:w="0" w:type="auto"/>
          </w:tcPr>
          <w:p w:rsidR="00197F55" w:rsidRPr="00615E1E" w:rsidRDefault="00197F55"/>
        </w:tc>
      </w:tr>
      <w:tr w:rsidR="001A0AE5" w:rsidRPr="00615E1E" w:rsidTr="00353185">
        <w:tc>
          <w:tcPr>
            <w:tcW w:w="0" w:type="auto"/>
          </w:tcPr>
          <w:p w:rsidR="00197F55" w:rsidRPr="00615E1E" w:rsidRDefault="00197F55">
            <w:pPr>
              <w:rPr>
                <w:b/>
              </w:rPr>
            </w:pPr>
            <w:r w:rsidRPr="00615E1E">
              <w:rPr>
                <w:b/>
              </w:rPr>
              <w:t>Příjemce OÚ</w:t>
            </w:r>
          </w:p>
        </w:tc>
        <w:tc>
          <w:tcPr>
            <w:tcW w:w="0" w:type="auto"/>
          </w:tcPr>
          <w:p w:rsidR="00197F55" w:rsidRPr="00615E1E" w:rsidRDefault="001A0AE5" w:rsidP="001A0AE5">
            <w:pPr>
              <w:rPr>
                <w:b/>
              </w:rPr>
            </w:pPr>
            <w:r>
              <w:rPr>
                <w:b/>
              </w:rPr>
              <w:t>BD</w:t>
            </w:r>
            <w:r w:rsidR="00197F55" w:rsidRPr="00615E1E">
              <w:rPr>
                <w:b/>
              </w:rPr>
              <w:t xml:space="preserve">, </w:t>
            </w:r>
            <w:r>
              <w:rPr>
                <w:b/>
              </w:rPr>
              <w:t>správní firma IKON, firma TECHEM zajišťující vyúčtování energií</w:t>
            </w:r>
            <w:r w:rsidR="00197F55" w:rsidRPr="00615E1E">
              <w:rPr>
                <w:b/>
              </w:rPr>
              <w:t xml:space="preserve"> </w:t>
            </w:r>
          </w:p>
        </w:tc>
        <w:tc>
          <w:tcPr>
            <w:tcW w:w="0" w:type="auto"/>
          </w:tcPr>
          <w:p w:rsidR="00197F55" w:rsidRPr="00615E1E" w:rsidRDefault="00197F55"/>
        </w:tc>
      </w:tr>
      <w:tr w:rsidR="001A0AE5" w:rsidRPr="00615E1E" w:rsidTr="00353185">
        <w:tc>
          <w:tcPr>
            <w:tcW w:w="0" w:type="auto"/>
          </w:tcPr>
          <w:p w:rsidR="00197F55" w:rsidRPr="00615E1E" w:rsidRDefault="00197F55">
            <w:pPr>
              <w:rPr>
                <w:b/>
              </w:rPr>
            </w:pPr>
            <w:r w:rsidRPr="00615E1E">
              <w:rPr>
                <w:b/>
              </w:rPr>
              <w:t>Doba uložení OÚ</w:t>
            </w:r>
          </w:p>
        </w:tc>
        <w:tc>
          <w:tcPr>
            <w:tcW w:w="0" w:type="auto"/>
          </w:tcPr>
          <w:p w:rsidR="00197F55" w:rsidRPr="00615E1E" w:rsidRDefault="00197F55">
            <w:pPr>
              <w:rPr>
                <w:b/>
              </w:rPr>
            </w:pPr>
            <w:r w:rsidRPr="00615E1E">
              <w:rPr>
                <w:b/>
              </w:rPr>
              <w:t>Konkrétní dobu uložení OÚ stanoví  zákon č. zákon č. 499/2004 Sb., o archivnictví a spisové službě</w:t>
            </w:r>
          </w:p>
        </w:tc>
        <w:tc>
          <w:tcPr>
            <w:tcW w:w="0" w:type="auto"/>
          </w:tcPr>
          <w:p w:rsidR="00197F55" w:rsidRPr="00615E1E" w:rsidRDefault="00197F55"/>
        </w:tc>
      </w:tr>
      <w:tr w:rsidR="001A0AE5" w:rsidRPr="00615E1E" w:rsidTr="00353185">
        <w:tc>
          <w:tcPr>
            <w:tcW w:w="0" w:type="auto"/>
          </w:tcPr>
          <w:p w:rsidR="00197F55" w:rsidRPr="00615E1E" w:rsidRDefault="00197F55">
            <w:pPr>
              <w:rPr>
                <w:b/>
              </w:rPr>
            </w:pPr>
            <w:r w:rsidRPr="00615E1E">
              <w:rPr>
                <w:b/>
              </w:rPr>
              <w:t>Automatizované zpracování OÚ</w:t>
            </w:r>
          </w:p>
        </w:tc>
        <w:tc>
          <w:tcPr>
            <w:tcW w:w="0" w:type="auto"/>
          </w:tcPr>
          <w:p w:rsidR="00197F55" w:rsidRPr="00615E1E" w:rsidRDefault="00197F55">
            <w:pPr>
              <w:rPr>
                <w:b/>
              </w:rPr>
            </w:pPr>
            <w:r w:rsidRPr="00615E1E">
              <w:rPr>
                <w:b/>
              </w:rPr>
              <w:t>Nedochází k němu</w:t>
            </w:r>
          </w:p>
        </w:tc>
        <w:tc>
          <w:tcPr>
            <w:tcW w:w="0" w:type="auto"/>
          </w:tcPr>
          <w:p w:rsidR="00197F55" w:rsidRPr="00615E1E" w:rsidRDefault="00197F55"/>
        </w:tc>
      </w:tr>
      <w:tr w:rsidR="001A0AE5" w:rsidRPr="00615E1E" w:rsidTr="00353185">
        <w:tc>
          <w:tcPr>
            <w:tcW w:w="0" w:type="auto"/>
          </w:tcPr>
          <w:p w:rsidR="00197F55" w:rsidRPr="00615E1E" w:rsidRDefault="00197F55">
            <w:pPr>
              <w:rPr>
                <w:b/>
              </w:rPr>
            </w:pPr>
            <w:r w:rsidRPr="00615E1E">
              <w:rPr>
                <w:b/>
              </w:rPr>
              <w:t>Profilování OÚ</w:t>
            </w:r>
          </w:p>
        </w:tc>
        <w:tc>
          <w:tcPr>
            <w:tcW w:w="0" w:type="auto"/>
          </w:tcPr>
          <w:p w:rsidR="00197F55" w:rsidRPr="00615E1E" w:rsidRDefault="00197F55">
            <w:pPr>
              <w:rPr>
                <w:b/>
              </w:rPr>
            </w:pPr>
            <w:r w:rsidRPr="00615E1E">
              <w:rPr>
                <w:b/>
              </w:rPr>
              <w:t>Nedochází k němu</w:t>
            </w:r>
          </w:p>
        </w:tc>
        <w:tc>
          <w:tcPr>
            <w:tcW w:w="0" w:type="auto"/>
          </w:tcPr>
          <w:p w:rsidR="00197F55" w:rsidRPr="00615E1E" w:rsidRDefault="00197F55"/>
        </w:tc>
      </w:tr>
      <w:tr w:rsidR="001A0AE5" w:rsidRPr="00615E1E" w:rsidTr="00353185">
        <w:tc>
          <w:tcPr>
            <w:tcW w:w="0" w:type="auto"/>
          </w:tcPr>
          <w:p w:rsidR="00197F55" w:rsidRPr="00615E1E" w:rsidRDefault="00197F55">
            <w:pPr>
              <w:rPr>
                <w:b/>
              </w:rPr>
            </w:pPr>
            <w:r w:rsidRPr="00615E1E">
              <w:rPr>
                <w:b/>
              </w:rPr>
              <w:t>Dohledový orgán*</w:t>
            </w:r>
          </w:p>
        </w:tc>
        <w:tc>
          <w:tcPr>
            <w:tcW w:w="0" w:type="auto"/>
          </w:tcPr>
          <w:p w:rsidR="00197F55" w:rsidRPr="00615E1E" w:rsidRDefault="00197F55">
            <w:pPr>
              <w:rPr>
                <w:b/>
              </w:rPr>
            </w:pPr>
            <w:r w:rsidRPr="00615E1E">
              <w:rPr>
                <w:b/>
              </w:rPr>
              <w:t>Úřad na ochranu osobních údajů</w:t>
            </w:r>
          </w:p>
        </w:tc>
        <w:tc>
          <w:tcPr>
            <w:tcW w:w="0" w:type="auto"/>
          </w:tcPr>
          <w:p w:rsidR="00197F55" w:rsidRPr="00615E1E" w:rsidRDefault="00197F55">
            <w:r w:rsidRPr="00615E1E">
              <w:t>https://www.uoou.cz/</w:t>
            </w:r>
          </w:p>
        </w:tc>
      </w:tr>
    </w:tbl>
    <w:p w:rsidR="00C14A81" w:rsidRPr="00615E1E" w:rsidRDefault="00C14A81"/>
    <w:p w:rsidR="00043616" w:rsidRPr="00615E1E" w:rsidRDefault="00043616">
      <w:r w:rsidRPr="00615E1E">
        <w:t>*) Každá fyzická osoba (subjekt údajů) má právo   podat stížnost k dohledovému orgánu, pokud se domnívá, že správce nebo zpracovatel  neoprávněně nakládají s jeho OÚ. Prioritně své námitky uplatňuje subjekt údajů u správce OÚ.</w:t>
      </w:r>
    </w:p>
    <w:p w:rsidR="00043616" w:rsidRDefault="00043616">
      <w:r w:rsidRPr="00615E1E">
        <w:t>Subjekt údajů má právo požadovat od správce přístup ke svým OÚ, má právo na jejich opravu</w:t>
      </w:r>
      <w:r w:rsidR="00615E1E" w:rsidRPr="00615E1E">
        <w:t>,</w:t>
      </w:r>
      <w:r w:rsidR="00615E1E">
        <w:t xml:space="preserve"> výmaz, má právo vznést námitku proti zpracování, jakož i práva na přenositelnost OÚ.</w:t>
      </w:r>
    </w:p>
    <w:p w:rsidR="00615E1E" w:rsidRDefault="00615E1E">
      <w:r>
        <w:t>Další bližší informace k problematice GDPR jsou k dispozici na:</w:t>
      </w:r>
      <w:r w:rsidR="00197F55">
        <w:t xml:space="preserve"> </w:t>
      </w:r>
      <w:hyperlink r:id="rId5" w:history="1">
        <w:r w:rsidR="00197F55" w:rsidRPr="00D14C9C">
          <w:rPr>
            <w:rStyle w:val="Hyperlink"/>
          </w:rPr>
          <w:t>https://www.uoou.cz/</w:t>
        </w:r>
      </w:hyperlink>
    </w:p>
    <w:p w:rsidR="00197F55" w:rsidRDefault="00197F55">
      <w:r>
        <w:t xml:space="preserve">Za výbor </w:t>
      </w:r>
      <w:r w:rsidR="001A0AE5">
        <w:t>Bytové družstvo Rytířova 785/2</w:t>
      </w:r>
    </w:p>
    <w:p w:rsidR="00197F55" w:rsidRDefault="001A0AE5">
      <w:r>
        <w:t>Petr Doležal</w:t>
      </w:r>
    </w:p>
    <w:p w:rsidR="00615E1E" w:rsidRDefault="001A0AE5">
      <w:r>
        <w:t>5.8</w:t>
      </w:r>
      <w:r w:rsidR="00197F55">
        <w:t>.2018</w:t>
      </w:r>
    </w:p>
    <w:sectPr w:rsidR="00615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90B78"/>
    <w:multiLevelType w:val="hybridMultilevel"/>
    <w:tmpl w:val="4840189C"/>
    <w:lvl w:ilvl="0" w:tplc="6FC40B1E">
      <w:start w:val="1"/>
      <w:numFmt w:val="bullet"/>
      <w:lvlText w:val="•"/>
      <w:lvlJc w:val="left"/>
      <w:pPr>
        <w:tabs>
          <w:tab w:val="num" w:pos="720"/>
        </w:tabs>
        <w:ind w:left="720" w:hanging="360"/>
      </w:pPr>
      <w:rPr>
        <w:rFonts w:ascii="Arial" w:hAnsi="Arial" w:hint="default"/>
      </w:rPr>
    </w:lvl>
    <w:lvl w:ilvl="1" w:tplc="E03860B4" w:tentative="1">
      <w:start w:val="1"/>
      <w:numFmt w:val="bullet"/>
      <w:lvlText w:val="•"/>
      <w:lvlJc w:val="left"/>
      <w:pPr>
        <w:tabs>
          <w:tab w:val="num" w:pos="1440"/>
        </w:tabs>
        <w:ind w:left="1440" w:hanging="360"/>
      </w:pPr>
      <w:rPr>
        <w:rFonts w:ascii="Arial" w:hAnsi="Arial" w:hint="default"/>
      </w:rPr>
    </w:lvl>
    <w:lvl w:ilvl="2" w:tplc="39FE29BC" w:tentative="1">
      <w:start w:val="1"/>
      <w:numFmt w:val="bullet"/>
      <w:lvlText w:val="•"/>
      <w:lvlJc w:val="left"/>
      <w:pPr>
        <w:tabs>
          <w:tab w:val="num" w:pos="2160"/>
        </w:tabs>
        <w:ind w:left="2160" w:hanging="360"/>
      </w:pPr>
      <w:rPr>
        <w:rFonts w:ascii="Arial" w:hAnsi="Arial" w:hint="default"/>
      </w:rPr>
    </w:lvl>
    <w:lvl w:ilvl="3" w:tplc="A008E420" w:tentative="1">
      <w:start w:val="1"/>
      <w:numFmt w:val="bullet"/>
      <w:lvlText w:val="•"/>
      <w:lvlJc w:val="left"/>
      <w:pPr>
        <w:tabs>
          <w:tab w:val="num" w:pos="2880"/>
        </w:tabs>
        <w:ind w:left="2880" w:hanging="360"/>
      </w:pPr>
      <w:rPr>
        <w:rFonts w:ascii="Arial" w:hAnsi="Arial" w:hint="default"/>
      </w:rPr>
    </w:lvl>
    <w:lvl w:ilvl="4" w:tplc="1A7C4940" w:tentative="1">
      <w:start w:val="1"/>
      <w:numFmt w:val="bullet"/>
      <w:lvlText w:val="•"/>
      <w:lvlJc w:val="left"/>
      <w:pPr>
        <w:tabs>
          <w:tab w:val="num" w:pos="3600"/>
        </w:tabs>
        <w:ind w:left="3600" w:hanging="360"/>
      </w:pPr>
      <w:rPr>
        <w:rFonts w:ascii="Arial" w:hAnsi="Arial" w:hint="default"/>
      </w:rPr>
    </w:lvl>
    <w:lvl w:ilvl="5" w:tplc="6DACB6AE" w:tentative="1">
      <w:start w:val="1"/>
      <w:numFmt w:val="bullet"/>
      <w:lvlText w:val="•"/>
      <w:lvlJc w:val="left"/>
      <w:pPr>
        <w:tabs>
          <w:tab w:val="num" w:pos="4320"/>
        </w:tabs>
        <w:ind w:left="4320" w:hanging="360"/>
      </w:pPr>
      <w:rPr>
        <w:rFonts w:ascii="Arial" w:hAnsi="Arial" w:hint="default"/>
      </w:rPr>
    </w:lvl>
    <w:lvl w:ilvl="6" w:tplc="E8C8CDC4" w:tentative="1">
      <w:start w:val="1"/>
      <w:numFmt w:val="bullet"/>
      <w:lvlText w:val="•"/>
      <w:lvlJc w:val="left"/>
      <w:pPr>
        <w:tabs>
          <w:tab w:val="num" w:pos="5040"/>
        </w:tabs>
        <w:ind w:left="5040" w:hanging="360"/>
      </w:pPr>
      <w:rPr>
        <w:rFonts w:ascii="Arial" w:hAnsi="Arial" w:hint="default"/>
      </w:rPr>
    </w:lvl>
    <w:lvl w:ilvl="7" w:tplc="4E720236" w:tentative="1">
      <w:start w:val="1"/>
      <w:numFmt w:val="bullet"/>
      <w:lvlText w:val="•"/>
      <w:lvlJc w:val="left"/>
      <w:pPr>
        <w:tabs>
          <w:tab w:val="num" w:pos="5760"/>
        </w:tabs>
        <w:ind w:left="5760" w:hanging="360"/>
      </w:pPr>
      <w:rPr>
        <w:rFonts w:ascii="Arial" w:hAnsi="Arial" w:hint="default"/>
      </w:rPr>
    </w:lvl>
    <w:lvl w:ilvl="8" w:tplc="08F4DA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3834A3"/>
    <w:multiLevelType w:val="hybridMultilevel"/>
    <w:tmpl w:val="802CAEDC"/>
    <w:lvl w:ilvl="0" w:tplc="8C00563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C24633"/>
    <w:multiLevelType w:val="hybridMultilevel"/>
    <w:tmpl w:val="B336CC7A"/>
    <w:lvl w:ilvl="0" w:tplc="EED89EBE">
      <w:start w:val="1"/>
      <w:numFmt w:val="bullet"/>
      <w:lvlText w:val="•"/>
      <w:lvlJc w:val="left"/>
      <w:pPr>
        <w:tabs>
          <w:tab w:val="num" w:pos="720"/>
        </w:tabs>
        <w:ind w:left="720" w:hanging="360"/>
      </w:pPr>
      <w:rPr>
        <w:rFonts w:ascii="Arial" w:hAnsi="Arial" w:hint="default"/>
      </w:rPr>
    </w:lvl>
    <w:lvl w:ilvl="1" w:tplc="527002D6" w:tentative="1">
      <w:start w:val="1"/>
      <w:numFmt w:val="bullet"/>
      <w:lvlText w:val="•"/>
      <w:lvlJc w:val="left"/>
      <w:pPr>
        <w:tabs>
          <w:tab w:val="num" w:pos="1440"/>
        </w:tabs>
        <w:ind w:left="1440" w:hanging="360"/>
      </w:pPr>
      <w:rPr>
        <w:rFonts w:ascii="Arial" w:hAnsi="Arial" w:hint="default"/>
      </w:rPr>
    </w:lvl>
    <w:lvl w:ilvl="2" w:tplc="4A6697A8" w:tentative="1">
      <w:start w:val="1"/>
      <w:numFmt w:val="bullet"/>
      <w:lvlText w:val="•"/>
      <w:lvlJc w:val="left"/>
      <w:pPr>
        <w:tabs>
          <w:tab w:val="num" w:pos="2160"/>
        </w:tabs>
        <w:ind w:left="2160" w:hanging="360"/>
      </w:pPr>
      <w:rPr>
        <w:rFonts w:ascii="Arial" w:hAnsi="Arial" w:hint="default"/>
      </w:rPr>
    </w:lvl>
    <w:lvl w:ilvl="3" w:tplc="901616D2" w:tentative="1">
      <w:start w:val="1"/>
      <w:numFmt w:val="bullet"/>
      <w:lvlText w:val="•"/>
      <w:lvlJc w:val="left"/>
      <w:pPr>
        <w:tabs>
          <w:tab w:val="num" w:pos="2880"/>
        </w:tabs>
        <w:ind w:left="2880" w:hanging="360"/>
      </w:pPr>
      <w:rPr>
        <w:rFonts w:ascii="Arial" w:hAnsi="Arial" w:hint="default"/>
      </w:rPr>
    </w:lvl>
    <w:lvl w:ilvl="4" w:tplc="CE08973E" w:tentative="1">
      <w:start w:val="1"/>
      <w:numFmt w:val="bullet"/>
      <w:lvlText w:val="•"/>
      <w:lvlJc w:val="left"/>
      <w:pPr>
        <w:tabs>
          <w:tab w:val="num" w:pos="3600"/>
        </w:tabs>
        <w:ind w:left="3600" w:hanging="360"/>
      </w:pPr>
      <w:rPr>
        <w:rFonts w:ascii="Arial" w:hAnsi="Arial" w:hint="default"/>
      </w:rPr>
    </w:lvl>
    <w:lvl w:ilvl="5" w:tplc="CE16B9A8" w:tentative="1">
      <w:start w:val="1"/>
      <w:numFmt w:val="bullet"/>
      <w:lvlText w:val="•"/>
      <w:lvlJc w:val="left"/>
      <w:pPr>
        <w:tabs>
          <w:tab w:val="num" w:pos="4320"/>
        </w:tabs>
        <w:ind w:left="4320" w:hanging="360"/>
      </w:pPr>
      <w:rPr>
        <w:rFonts w:ascii="Arial" w:hAnsi="Arial" w:hint="default"/>
      </w:rPr>
    </w:lvl>
    <w:lvl w:ilvl="6" w:tplc="13B214DA" w:tentative="1">
      <w:start w:val="1"/>
      <w:numFmt w:val="bullet"/>
      <w:lvlText w:val="•"/>
      <w:lvlJc w:val="left"/>
      <w:pPr>
        <w:tabs>
          <w:tab w:val="num" w:pos="5040"/>
        </w:tabs>
        <w:ind w:left="5040" w:hanging="360"/>
      </w:pPr>
      <w:rPr>
        <w:rFonts w:ascii="Arial" w:hAnsi="Arial" w:hint="default"/>
      </w:rPr>
    </w:lvl>
    <w:lvl w:ilvl="7" w:tplc="2B920722" w:tentative="1">
      <w:start w:val="1"/>
      <w:numFmt w:val="bullet"/>
      <w:lvlText w:val="•"/>
      <w:lvlJc w:val="left"/>
      <w:pPr>
        <w:tabs>
          <w:tab w:val="num" w:pos="5760"/>
        </w:tabs>
        <w:ind w:left="5760" w:hanging="360"/>
      </w:pPr>
      <w:rPr>
        <w:rFonts w:ascii="Arial" w:hAnsi="Arial" w:hint="default"/>
      </w:rPr>
    </w:lvl>
    <w:lvl w:ilvl="8" w:tplc="DE90BB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9FC7E1B"/>
    <w:multiLevelType w:val="hybridMultilevel"/>
    <w:tmpl w:val="5D9235C2"/>
    <w:lvl w:ilvl="0" w:tplc="A1AEF740">
      <w:start w:val="1"/>
      <w:numFmt w:val="bullet"/>
      <w:lvlText w:val="•"/>
      <w:lvlJc w:val="left"/>
      <w:pPr>
        <w:tabs>
          <w:tab w:val="num" w:pos="720"/>
        </w:tabs>
        <w:ind w:left="720" w:hanging="360"/>
      </w:pPr>
      <w:rPr>
        <w:rFonts w:ascii="Arial" w:hAnsi="Arial" w:hint="default"/>
      </w:rPr>
    </w:lvl>
    <w:lvl w:ilvl="1" w:tplc="E3BE933C" w:tentative="1">
      <w:start w:val="1"/>
      <w:numFmt w:val="bullet"/>
      <w:lvlText w:val="•"/>
      <w:lvlJc w:val="left"/>
      <w:pPr>
        <w:tabs>
          <w:tab w:val="num" w:pos="1440"/>
        </w:tabs>
        <w:ind w:left="1440" w:hanging="360"/>
      </w:pPr>
      <w:rPr>
        <w:rFonts w:ascii="Arial" w:hAnsi="Arial" w:hint="default"/>
      </w:rPr>
    </w:lvl>
    <w:lvl w:ilvl="2" w:tplc="C8365CC2" w:tentative="1">
      <w:start w:val="1"/>
      <w:numFmt w:val="bullet"/>
      <w:lvlText w:val="•"/>
      <w:lvlJc w:val="left"/>
      <w:pPr>
        <w:tabs>
          <w:tab w:val="num" w:pos="2160"/>
        </w:tabs>
        <w:ind w:left="2160" w:hanging="360"/>
      </w:pPr>
      <w:rPr>
        <w:rFonts w:ascii="Arial" w:hAnsi="Arial" w:hint="default"/>
      </w:rPr>
    </w:lvl>
    <w:lvl w:ilvl="3" w:tplc="02FCF2B0" w:tentative="1">
      <w:start w:val="1"/>
      <w:numFmt w:val="bullet"/>
      <w:lvlText w:val="•"/>
      <w:lvlJc w:val="left"/>
      <w:pPr>
        <w:tabs>
          <w:tab w:val="num" w:pos="2880"/>
        </w:tabs>
        <w:ind w:left="2880" w:hanging="360"/>
      </w:pPr>
      <w:rPr>
        <w:rFonts w:ascii="Arial" w:hAnsi="Arial" w:hint="default"/>
      </w:rPr>
    </w:lvl>
    <w:lvl w:ilvl="4" w:tplc="E80A5184" w:tentative="1">
      <w:start w:val="1"/>
      <w:numFmt w:val="bullet"/>
      <w:lvlText w:val="•"/>
      <w:lvlJc w:val="left"/>
      <w:pPr>
        <w:tabs>
          <w:tab w:val="num" w:pos="3600"/>
        </w:tabs>
        <w:ind w:left="3600" w:hanging="360"/>
      </w:pPr>
      <w:rPr>
        <w:rFonts w:ascii="Arial" w:hAnsi="Arial" w:hint="default"/>
      </w:rPr>
    </w:lvl>
    <w:lvl w:ilvl="5" w:tplc="83E67CB0" w:tentative="1">
      <w:start w:val="1"/>
      <w:numFmt w:val="bullet"/>
      <w:lvlText w:val="•"/>
      <w:lvlJc w:val="left"/>
      <w:pPr>
        <w:tabs>
          <w:tab w:val="num" w:pos="4320"/>
        </w:tabs>
        <w:ind w:left="4320" w:hanging="360"/>
      </w:pPr>
      <w:rPr>
        <w:rFonts w:ascii="Arial" w:hAnsi="Arial" w:hint="default"/>
      </w:rPr>
    </w:lvl>
    <w:lvl w:ilvl="6" w:tplc="104C9D0A" w:tentative="1">
      <w:start w:val="1"/>
      <w:numFmt w:val="bullet"/>
      <w:lvlText w:val="•"/>
      <w:lvlJc w:val="left"/>
      <w:pPr>
        <w:tabs>
          <w:tab w:val="num" w:pos="5040"/>
        </w:tabs>
        <w:ind w:left="5040" w:hanging="360"/>
      </w:pPr>
      <w:rPr>
        <w:rFonts w:ascii="Arial" w:hAnsi="Arial" w:hint="default"/>
      </w:rPr>
    </w:lvl>
    <w:lvl w:ilvl="7" w:tplc="0A663410" w:tentative="1">
      <w:start w:val="1"/>
      <w:numFmt w:val="bullet"/>
      <w:lvlText w:val="•"/>
      <w:lvlJc w:val="left"/>
      <w:pPr>
        <w:tabs>
          <w:tab w:val="num" w:pos="5760"/>
        </w:tabs>
        <w:ind w:left="5760" w:hanging="360"/>
      </w:pPr>
      <w:rPr>
        <w:rFonts w:ascii="Arial" w:hAnsi="Arial" w:hint="default"/>
      </w:rPr>
    </w:lvl>
    <w:lvl w:ilvl="8" w:tplc="D9E260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F56794"/>
    <w:multiLevelType w:val="hybridMultilevel"/>
    <w:tmpl w:val="A69888DA"/>
    <w:lvl w:ilvl="0" w:tplc="B72ED53C">
      <w:start w:val="1"/>
      <w:numFmt w:val="bullet"/>
      <w:lvlText w:val="•"/>
      <w:lvlJc w:val="left"/>
      <w:pPr>
        <w:tabs>
          <w:tab w:val="num" w:pos="720"/>
        </w:tabs>
        <w:ind w:left="720" w:hanging="360"/>
      </w:pPr>
      <w:rPr>
        <w:rFonts w:ascii="Arial" w:hAnsi="Arial" w:hint="default"/>
      </w:rPr>
    </w:lvl>
    <w:lvl w:ilvl="1" w:tplc="1FE84F16" w:tentative="1">
      <w:start w:val="1"/>
      <w:numFmt w:val="bullet"/>
      <w:lvlText w:val="•"/>
      <w:lvlJc w:val="left"/>
      <w:pPr>
        <w:tabs>
          <w:tab w:val="num" w:pos="1440"/>
        </w:tabs>
        <w:ind w:left="1440" w:hanging="360"/>
      </w:pPr>
      <w:rPr>
        <w:rFonts w:ascii="Arial" w:hAnsi="Arial" w:hint="default"/>
      </w:rPr>
    </w:lvl>
    <w:lvl w:ilvl="2" w:tplc="87F07344" w:tentative="1">
      <w:start w:val="1"/>
      <w:numFmt w:val="bullet"/>
      <w:lvlText w:val="•"/>
      <w:lvlJc w:val="left"/>
      <w:pPr>
        <w:tabs>
          <w:tab w:val="num" w:pos="2160"/>
        </w:tabs>
        <w:ind w:left="2160" w:hanging="360"/>
      </w:pPr>
      <w:rPr>
        <w:rFonts w:ascii="Arial" w:hAnsi="Arial" w:hint="default"/>
      </w:rPr>
    </w:lvl>
    <w:lvl w:ilvl="3" w:tplc="80CA4E84" w:tentative="1">
      <w:start w:val="1"/>
      <w:numFmt w:val="bullet"/>
      <w:lvlText w:val="•"/>
      <w:lvlJc w:val="left"/>
      <w:pPr>
        <w:tabs>
          <w:tab w:val="num" w:pos="2880"/>
        </w:tabs>
        <w:ind w:left="2880" w:hanging="360"/>
      </w:pPr>
      <w:rPr>
        <w:rFonts w:ascii="Arial" w:hAnsi="Arial" w:hint="default"/>
      </w:rPr>
    </w:lvl>
    <w:lvl w:ilvl="4" w:tplc="B1DA8E28" w:tentative="1">
      <w:start w:val="1"/>
      <w:numFmt w:val="bullet"/>
      <w:lvlText w:val="•"/>
      <w:lvlJc w:val="left"/>
      <w:pPr>
        <w:tabs>
          <w:tab w:val="num" w:pos="3600"/>
        </w:tabs>
        <w:ind w:left="3600" w:hanging="360"/>
      </w:pPr>
      <w:rPr>
        <w:rFonts w:ascii="Arial" w:hAnsi="Arial" w:hint="default"/>
      </w:rPr>
    </w:lvl>
    <w:lvl w:ilvl="5" w:tplc="10305AE0" w:tentative="1">
      <w:start w:val="1"/>
      <w:numFmt w:val="bullet"/>
      <w:lvlText w:val="•"/>
      <w:lvlJc w:val="left"/>
      <w:pPr>
        <w:tabs>
          <w:tab w:val="num" w:pos="4320"/>
        </w:tabs>
        <w:ind w:left="4320" w:hanging="360"/>
      </w:pPr>
      <w:rPr>
        <w:rFonts w:ascii="Arial" w:hAnsi="Arial" w:hint="default"/>
      </w:rPr>
    </w:lvl>
    <w:lvl w:ilvl="6" w:tplc="B570F66A" w:tentative="1">
      <w:start w:val="1"/>
      <w:numFmt w:val="bullet"/>
      <w:lvlText w:val="•"/>
      <w:lvlJc w:val="left"/>
      <w:pPr>
        <w:tabs>
          <w:tab w:val="num" w:pos="5040"/>
        </w:tabs>
        <w:ind w:left="5040" w:hanging="360"/>
      </w:pPr>
      <w:rPr>
        <w:rFonts w:ascii="Arial" w:hAnsi="Arial" w:hint="default"/>
      </w:rPr>
    </w:lvl>
    <w:lvl w:ilvl="7" w:tplc="F2E02718" w:tentative="1">
      <w:start w:val="1"/>
      <w:numFmt w:val="bullet"/>
      <w:lvlText w:val="•"/>
      <w:lvlJc w:val="left"/>
      <w:pPr>
        <w:tabs>
          <w:tab w:val="num" w:pos="5760"/>
        </w:tabs>
        <w:ind w:left="5760" w:hanging="360"/>
      </w:pPr>
      <w:rPr>
        <w:rFonts w:ascii="Arial" w:hAnsi="Arial" w:hint="default"/>
      </w:rPr>
    </w:lvl>
    <w:lvl w:ilvl="8" w:tplc="0FBE5C7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65"/>
    <w:rsid w:val="00043616"/>
    <w:rsid w:val="00083915"/>
    <w:rsid w:val="00197F55"/>
    <w:rsid w:val="001A0AE5"/>
    <w:rsid w:val="001C3865"/>
    <w:rsid w:val="001D77CD"/>
    <w:rsid w:val="002F2956"/>
    <w:rsid w:val="00353185"/>
    <w:rsid w:val="004A1CC1"/>
    <w:rsid w:val="00615E1E"/>
    <w:rsid w:val="00717E19"/>
    <w:rsid w:val="00A42BA8"/>
    <w:rsid w:val="00A841AB"/>
    <w:rsid w:val="00C14A81"/>
    <w:rsid w:val="00CC508B"/>
    <w:rsid w:val="00CE3CC6"/>
    <w:rsid w:val="00D975E9"/>
    <w:rsid w:val="00E11112"/>
    <w:rsid w:val="00E72B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046C2-0F64-4EE5-A5E1-6ECB4F16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956"/>
    <w:pPr>
      <w:ind w:left="720"/>
      <w:contextualSpacing/>
    </w:pPr>
  </w:style>
  <w:style w:type="table" w:styleId="TableGrid">
    <w:name w:val="Table Grid"/>
    <w:basedOn w:val="TableNormal"/>
    <w:uiPriority w:val="59"/>
    <w:rsid w:val="0035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F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82385">
      <w:bodyDiv w:val="1"/>
      <w:marLeft w:val="0"/>
      <w:marRight w:val="0"/>
      <w:marTop w:val="0"/>
      <w:marBottom w:val="0"/>
      <w:divBdr>
        <w:top w:val="none" w:sz="0" w:space="0" w:color="auto"/>
        <w:left w:val="none" w:sz="0" w:space="0" w:color="auto"/>
        <w:bottom w:val="none" w:sz="0" w:space="0" w:color="auto"/>
        <w:right w:val="none" w:sz="0" w:space="0" w:color="auto"/>
      </w:divBdr>
      <w:divsChild>
        <w:div w:id="559556722">
          <w:marLeft w:val="547"/>
          <w:marRight w:val="0"/>
          <w:marTop w:val="77"/>
          <w:marBottom w:val="0"/>
          <w:divBdr>
            <w:top w:val="none" w:sz="0" w:space="0" w:color="auto"/>
            <w:left w:val="none" w:sz="0" w:space="0" w:color="auto"/>
            <w:bottom w:val="none" w:sz="0" w:space="0" w:color="auto"/>
            <w:right w:val="none" w:sz="0" w:space="0" w:color="auto"/>
          </w:divBdr>
        </w:div>
      </w:divsChild>
    </w:div>
    <w:div w:id="1219971218">
      <w:bodyDiv w:val="1"/>
      <w:marLeft w:val="0"/>
      <w:marRight w:val="0"/>
      <w:marTop w:val="0"/>
      <w:marBottom w:val="0"/>
      <w:divBdr>
        <w:top w:val="none" w:sz="0" w:space="0" w:color="auto"/>
        <w:left w:val="none" w:sz="0" w:space="0" w:color="auto"/>
        <w:bottom w:val="none" w:sz="0" w:space="0" w:color="auto"/>
        <w:right w:val="none" w:sz="0" w:space="0" w:color="auto"/>
      </w:divBdr>
      <w:divsChild>
        <w:div w:id="262997986">
          <w:marLeft w:val="547"/>
          <w:marRight w:val="0"/>
          <w:marTop w:val="82"/>
          <w:marBottom w:val="0"/>
          <w:divBdr>
            <w:top w:val="none" w:sz="0" w:space="0" w:color="auto"/>
            <w:left w:val="none" w:sz="0" w:space="0" w:color="auto"/>
            <w:bottom w:val="none" w:sz="0" w:space="0" w:color="auto"/>
            <w:right w:val="none" w:sz="0" w:space="0" w:color="auto"/>
          </w:divBdr>
        </w:div>
        <w:div w:id="698815755">
          <w:marLeft w:val="547"/>
          <w:marRight w:val="0"/>
          <w:marTop w:val="67"/>
          <w:marBottom w:val="0"/>
          <w:divBdr>
            <w:top w:val="none" w:sz="0" w:space="0" w:color="auto"/>
            <w:left w:val="none" w:sz="0" w:space="0" w:color="auto"/>
            <w:bottom w:val="none" w:sz="0" w:space="0" w:color="auto"/>
            <w:right w:val="none" w:sz="0" w:space="0" w:color="auto"/>
          </w:divBdr>
        </w:div>
      </w:divsChild>
    </w:div>
    <w:div w:id="1621493948">
      <w:bodyDiv w:val="1"/>
      <w:marLeft w:val="0"/>
      <w:marRight w:val="0"/>
      <w:marTop w:val="0"/>
      <w:marBottom w:val="0"/>
      <w:divBdr>
        <w:top w:val="none" w:sz="0" w:space="0" w:color="auto"/>
        <w:left w:val="none" w:sz="0" w:space="0" w:color="auto"/>
        <w:bottom w:val="none" w:sz="0" w:space="0" w:color="auto"/>
        <w:right w:val="none" w:sz="0" w:space="0" w:color="auto"/>
      </w:divBdr>
      <w:divsChild>
        <w:div w:id="1652752925">
          <w:marLeft w:val="547"/>
          <w:marRight w:val="0"/>
          <w:marTop w:val="130"/>
          <w:marBottom w:val="0"/>
          <w:divBdr>
            <w:top w:val="none" w:sz="0" w:space="0" w:color="auto"/>
            <w:left w:val="none" w:sz="0" w:space="0" w:color="auto"/>
            <w:bottom w:val="none" w:sz="0" w:space="0" w:color="auto"/>
            <w:right w:val="none" w:sz="0" w:space="0" w:color="auto"/>
          </w:divBdr>
        </w:div>
        <w:div w:id="1776511074">
          <w:marLeft w:val="547"/>
          <w:marRight w:val="0"/>
          <w:marTop w:val="130"/>
          <w:marBottom w:val="0"/>
          <w:divBdr>
            <w:top w:val="none" w:sz="0" w:space="0" w:color="auto"/>
            <w:left w:val="none" w:sz="0" w:space="0" w:color="auto"/>
            <w:bottom w:val="none" w:sz="0" w:space="0" w:color="auto"/>
            <w:right w:val="none" w:sz="0" w:space="0" w:color="auto"/>
          </w:divBdr>
        </w:div>
        <w:div w:id="1514145882">
          <w:marLeft w:val="547"/>
          <w:marRight w:val="0"/>
          <w:marTop w:val="130"/>
          <w:marBottom w:val="0"/>
          <w:divBdr>
            <w:top w:val="none" w:sz="0" w:space="0" w:color="auto"/>
            <w:left w:val="none" w:sz="0" w:space="0" w:color="auto"/>
            <w:bottom w:val="none" w:sz="0" w:space="0" w:color="auto"/>
            <w:right w:val="none" w:sz="0" w:space="0" w:color="auto"/>
          </w:divBdr>
        </w:div>
        <w:div w:id="1461722934">
          <w:marLeft w:val="547"/>
          <w:marRight w:val="0"/>
          <w:marTop w:val="130"/>
          <w:marBottom w:val="0"/>
          <w:divBdr>
            <w:top w:val="none" w:sz="0" w:space="0" w:color="auto"/>
            <w:left w:val="none" w:sz="0" w:space="0" w:color="auto"/>
            <w:bottom w:val="none" w:sz="0" w:space="0" w:color="auto"/>
            <w:right w:val="none" w:sz="0" w:space="0" w:color="auto"/>
          </w:divBdr>
        </w:div>
      </w:divsChild>
    </w:div>
    <w:div w:id="2123910745">
      <w:bodyDiv w:val="1"/>
      <w:marLeft w:val="0"/>
      <w:marRight w:val="0"/>
      <w:marTop w:val="0"/>
      <w:marBottom w:val="0"/>
      <w:divBdr>
        <w:top w:val="none" w:sz="0" w:space="0" w:color="auto"/>
        <w:left w:val="none" w:sz="0" w:space="0" w:color="auto"/>
        <w:bottom w:val="none" w:sz="0" w:space="0" w:color="auto"/>
        <w:right w:val="none" w:sz="0" w:space="0" w:color="auto"/>
      </w:divBdr>
      <w:divsChild>
        <w:div w:id="1565143491">
          <w:marLeft w:val="547"/>
          <w:marRight w:val="0"/>
          <w:marTop w:val="96"/>
          <w:marBottom w:val="0"/>
          <w:divBdr>
            <w:top w:val="none" w:sz="0" w:space="0" w:color="auto"/>
            <w:left w:val="none" w:sz="0" w:space="0" w:color="auto"/>
            <w:bottom w:val="none" w:sz="0" w:space="0" w:color="auto"/>
            <w:right w:val="none" w:sz="0" w:space="0" w:color="auto"/>
          </w:divBdr>
        </w:div>
        <w:div w:id="1168599820">
          <w:marLeft w:val="547"/>
          <w:marRight w:val="0"/>
          <w:marTop w:val="96"/>
          <w:marBottom w:val="0"/>
          <w:divBdr>
            <w:top w:val="none" w:sz="0" w:space="0" w:color="auto"/>
            <w:left w:val="none" w:sz="0" w:space="0" w:color="auto"/>
            <w:bottom w:val="none" w:sz="0" w:space="0" w:color="auto"/>
            <w:right w:val="none" w:sz="0" w:space="0" w:color="auto"/>
          </w:divBdr>
        </w:div>
        <w:div w:id="79706678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oou.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674</Words>
  <Characters>3844</Characters>
  <Application>Microsoft Office Word</Application>
  <DocSecurity>0</DocSecurity>
  <Lines>32</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VZP ČR</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Evžen Doležal</dc:creator>
  <cp:keywords/>
  <dc:description/>
  <cp:lastModifiedBy>Petr</cp:lastModifiedBy>
  <cp:revision>7</cp:revision>
  <dcterms:created xsi:type="dcterms:W3CDTF">2018-05-08T17:06:00Z</dcterms:created>
  <dcterms:modified xsi:type="dcterms:W3CDTF">2018-05-08T17:16:00Z</dcterms:modified>
</cp:coreProperties>
</file>